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881"/>
        <w:gridCol w:w="3905"/>
      </w:tblGrid>
      <w:tr>
        <w:tblPrEx/>
        <w:trPr/>
        <w:tc>
          <w:tcPr>
            <w:tcW w:w="10881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05" w:type="dxa"/>
            <w:textDirection w:val="lrTb"/>
            <w:noWrap w:val="false"/>
          </w:tcPr>
          <w:p>
            <w:pPr>
              <w:ind w:firstLine="0"/>
              <w:jc w:val="center"/>
            </w:pPr>
            <w:r>
              <w:t xml:space="preserve">ПРИЛОЖЕНИЕ</w:t>
            </w:r>
            <w:r/>
          </w:p>
          <w:p>
            <w:pPr>
              <w:ind w:firstLine="0"/>
              <w:jc w:val="center"/>
            </w:pPr>
            <w:r>
              <w:t xml:space="preserve">к постановлению Губернатора</w:t>
            </w:r>
            <w:r/>
          </w:p>
          <w:p>
            <w:pPr>
              <w:ind w:firstLine="0"/>
              <w:jc w:val="center"/>
            </w:pPr>
            <w:r>
              <w:t xml:space="preserve">Новосибирской области</w:t>
            </w:r>
            <w:r/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firstLine="0"/>
        <w:jc w:val="left"/>
      </w:pPr>
      <w:r/>
      <w:r/>
    </w:p>
    <w:p>
      <w:pPr>
        <w:ind w:firstLine="0"/>
        <w:jc w:val="left"/>
      </w:pPr>
      <w:r/>
      <w:r/>
    </w:p>
    <w:p>
      <w:pPr>
        <w:contextualSpacing/>
        <w:ind w:left="-851" w:firstLine="0"/>
        <w:jc w:val="left"/>
      </w:pPr>
      <w:r>
        <w:t xml:space="preserve">«</w:t>
      </w:r>
      <w:r/>
    </w:p>
    <w:tbl>
      <w:tblPr>
        <w:tblStyle w:val="894"/>
        <w:tblW w:w="536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422"/>
        <w:gridCol w:w="845"/>
        <w:gridCol w:w="575"/>
        <w:gridCol w:w="988"/>
        <w:gridCol w:w="1280"/>
        <w:gridCol w:w="991"/>
        <w:gridCol w:w="568"/>
        <w:gridCol w:w="991"/>
        <w:gridCol w:w="1416"/>
        <w:gridCol w:w="1280"/>
        <w:gridCol w:w="1273"/>
        <w:gridCol w:w="1416"/>
        <w:gridCol w:w="994"/>
        <w:gridCol w:w="562"/>
      </w:tblGrid>
      <w:tr>
        <w:tblPrEx/>
        <w:trPr/>
        <w:tc>
          <w:tcPr>
            <w:tcW w:w="40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08.1.841112.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0.0002</w:t>
            </w:r>
            <w:r>
              <w:rPr>
                <w:rFonts w:cs="Times New Roman"/>
                <w:sz w:val="20"/>
                <w:szCs w:val="20"/>
              </w:rPr>
              <w:t xml:space="preserve">8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8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Проведение технического учета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жилищного фонда на территории Новосибирской области,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в том числе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его технической инвентаризации и технической паспортизации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266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84.11.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12.000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гос</w:t>
            </w:r>
            <w:r>
              <w:rPr>
                <w:rFonts w:cs="Times New Roman"/>
                <w:sz w:val="20"/>
                <w:szCs w:val="20"/>
              </w:rPr>
              <w:t xml:space="preserve">у</w:t>
            </w:r>
            <w:r>
              <w:rPr>
                <w:rFonts w:cs="Times New Roman"/>
                <w:sz w:val="20"/>
                <w:szCs w:val="20"/>
              </w:rPr>
              <w:t xml:space="preserve">да</w:t>
            </w:r>
            <w:r>
              <w:rPr>
                <w:rFonts w:cs="Times New Roman"/>
                <w:sz w:val="20"/>
                <w:szCs w:val="20"/>
              </w:rPr>
              <w:t xml:space="preserve">р</w:t>
            </w:r>
            <w:r>
              <w:rPr>
                <w:rFonts w:cs="Times New Roman"/>
                <w:sz w:val="20"/>
                <w:szCs w:val="20"/>
              </w:rPr>
              <w:t xml:space="preserve">ственная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бюдже</w:t>
            </w:r>
            <w:r>
              <w:rPr>
                <w:rFonts w:cs="Times New Roman"/>
                <w:sz w:val="20"/>
                <w:szCs w:val="20"/>
              </w:rPr>
              <w:t xml:space="preserve">т</w:t>
            </w:r>
            <w:r>
              <w:rPr>
                <w:rFonts w:cs="Times New Roman"/>
                <w:sz w:val="20"/>
                <w:szCs w:val="20"/>
              </w:rPr>
              <w:t xml:space="preserve">ное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проведение работ по техническому учета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жилищного фонда на территории Новосибирской области,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в том числе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его технической инвентаризации и технической паспортизации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электро</w:t>
            </w:r>
            <w:r>
              <w:rPr>
                <w:rFonts w:cs="Times New Roman"/>
                <w:sz w:val="20"/>
                <w:szCs w:val="20"/>
              </w:rPr>
              <w:t xml:space="preserve">н</w:t>
            </w:r>
            <w:r>
              <w:rPr>
                <w:rFonts w:cs="Times New Roman"/>
                <w:sz w:val="20"/>
                <w:szCs w:val="20"/>
              </w:rPr>
              <w:t xml:space="preserve">ном </w:t>
            </w:r>
            <w:r>
              <w:rPr>
                <w:rFonts w:cs="Times New Roman"/>
                <w:sz w:val="20"/>
                <w:szCs w:val="20"/>
              </w:rPr>
              <w:t xml:space="preserve">виде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9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услуга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беспла</w:t>
            </w:r>
            <w:r>
              <w:rPr>
                <w:rFonts w:cs="Times New Roman"/>
                <w:sz w:val="20"/>
                <w:szCs w:val="20"/>
              </w:rPr>
              <w:t xml:space="preserve">т</w:t>
            </w:r>
            <w:r>
              <w:rPr>
                <w:rFonts w:cs="Times New Roman"/>
                <w:sz w:val="20"/>
                <w:szCs w:val="20"/>
              </w:rPr>
              <w:t xml:space="preserve">ная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Новосибирской области от 01.06.2026 № 276-п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«Об установлении случаев и порядка проведения</w:t>
            </w:r>
            <w:r>
              <w:rPr>
                <w:sz w:val="20"/>
                <w:szCs w:val="20"/>
              </w:rPr>
              <w:t xml:space="preserve"> технического учета жилищного фонда на территории Новосибирской области, в том числе его технической инвентаризации и технической паспортизации»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органы гос</w:t>
            </w:r>
            <w:r>
              <w:rPr>
                <w:rFonts w:cs="Times New Roman"/>
                <w:sz w:val="20"/>
                <w:szCs w:val="20"/>
              </w:rPr>
              <w:t xml:space="preserve">у</w:t>
            </w:r>
            <w:r>
              <w:rPr>
                <w:rFonts w:cs="Times New Roman"/>
                <w:sz w:val="20"/>
                <w:szCs w:val="20"/>
              </w:rPr>
              <w:t xml:space="preserve">дарственной власти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01" w:type="pct"/>
            <w:textDirection w:val="lrTb"/>
            <w:noWrap w:val="false"/>
          </w:tcPr>
          <w:p>
            <w:pPr>
              <w:ind w:firstLine="0"/>
              <w:jc w:val="both"/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количество объектов, подлежащих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техническому учету,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технической инвентаризации и технической паспортизации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</w:p>
          <w:p>
            <w:pPr>
              <w:ind w:firstLine="0"/>
              <w:jc w:val="both"/>
              <w:rPr>
                <w:rStyle w:val="902"/>
                <w:rFonts w:eastAsiaTheme="minorHAnsi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(единица)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ind w:firstLine="0"/>
              <w:jc w:val="both"/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соблюдение установленных сроков проведения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технического учета,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технической инвентаризации и технической паспортизации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(процент)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</w:p>
        </w:tc>
        <w:tc>
          <w:tcPr>
            <w:tcW w:w="31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Новос</w:t>
            </w:r>
            <w:r>
              <w:rPr>
                <w:rFonts w:cs="Times New Roman"/>
                <w:sz w:val="20"/>
                <w:szCs w:val="20"/>
              </w:rPr>
              <w:t xml:space="preserve">и</w:t>
            </w:r>
            <w:r>
              <w:rPr>
                <w:rFonts w:cs="Times New Roman"/>
                <w:sz w:val="20"/>
                <w:szCs w:val="20"/>
              </w:rPr>
              <w:t xml:space="preserve">бирская область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7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  <w:r>
              <w:rPr>
                <w:rFonts w:cs="Times New Roman"/>
                <w:sz w:val="16"/>
                <w:szCs w:val="16"/>
              </w:rPr>
            </w:r>
            <w:r>
              <w:rPr>
                <w:rFonts w:cs="Times New Roman"/>
                <w:sz w:val="16"/>
                <w:szCs w:val="16"/>
              </w:rPr>
            </w:r>
          </w:p>
        </w:tc>
      </w:tr>
      <w:tr>
        <w:tblPrEx/>
        <w:trPr>
          <w:trHeight w:val="1969"/>
        </w:trPr>
        <w:tc>
          <w:tcPr>
            <w:tcW w:w="40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08.1.841112.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0.0002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9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448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Проведение технического учета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жилищного фонда на территории Новосибирской области,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в том числе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его технической инвентаризации и технической паспортизации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266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84.11.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12.000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18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гос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да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р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ственная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бюдже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т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ное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проведение работ по техническому учета 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жилищного фонда на территории Новосибирской области,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в том числе</w:t>
            </w:r>
            <w:r>
              <w:rPr>
                <w:rStyle w:val="902"/>
                <w:rFonts w:eastAsiaTheme="minorHAnsi"/>
                <w:color w:val="auto"/>
                <w:sz w:val="20"/>
                <w:szCs w:val="20"/>
              </w:rPr>
              <w:t xml:space="preserve"> его технической инвентаризации и технической паспортизации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на б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мажном носителе 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179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услуга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беспла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т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ная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Новосибирской области от 01.06.2026 № 276-п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«Об установлении случаев и порядка проведения</w:t>
            </w:r>
            <w:r>
              <w:rPr>
                <w:sz w:val="20"/>
                <w:szCs w:val="20"/>
              </w:rPr>
              <w:t xml:space="preserve"> технического учета жилищного фонда на территории Новосибирской области, в том числе его технической инвентаризации и технической паспортизации»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органы гос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дарственной власти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401" w:type="pct"/>
            <w:textDirection w:val="lrTb"/>
            <w:noWrap w:val="false"/>
          </w:tcPr>
          <w:p>
            <w:pPr>
              <w:ind w:firstLine="0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количество объектов, подлежащих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техническому учету,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технической инвентаризации и технической паспортизации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</w:p>
          <w:p>
            <w:pPr>
              <w:ind w:firstLine="0"/>
              <w:jc w:val="both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(единица)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ind w:firstLine="0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соблюдение установленных сроков проведения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технического учета,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технической инвентаризации и технической паспортизации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(процент)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</w:p>
          <w:p>
            <w:pPr>
              <w:ind w:firstLine="0"/>
              <w:jc w:val="both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31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Новос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и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бирская область</w:t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</w:r>
          </w:p>
        </w:tc>
        <w:tc>
          <w:tcPr>
            <w:tcW w:w="177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16"/>
                <w:szCs w:val="16"/>
                <w:highlight w:val="yellow"/>
              </w:rPr>
            </w:pPr>
            <w:r>
              <w:rPr>
                <w:rFonts w:cs="Times New Roman"/>
                <w:sz w:val="16"/>
                <w:szCs w:val="16"/>
                <w:highlight w:val="yellow"/>
              </w:rPr>
            </w:r>
            <w:r>
              <w:rPr>
                <w:rFonts w:cs="Times New Roman"/>
                <w:sz w:val="16"/>
                <w:szCs w:val="16"/>
                <w:highlight w:val="yellow"/>
              </w:rPr>
            </w:r>
            <w:r>
              <w:rPr>
                <w:rFonts w:cs="Times New Roman"/>
                <w:sz w:val="16"/>
                <w:szCs w:val="16"/>
                <w:highlight w:val="yellow"/>
              </w:rPr>
            </w:r>
          </w:p>
        </w:tc>
      </w:tr>
    </w:tbl>
    <w:tbl>
      <w:tblPr>
        <w:tblStyle w:val="894"/>
        <w:tblW w:w="536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422"/>
        <w:gridCol w:w="845"/>
        <w:gridCol w:w="575"/>
        <w:gridCol w:w="988"/>
        <w:gridCol w:w="1280"/>
        <w:gridCol w:w="991"/>
        <w:gridCol w:w="568"/>
        <w:gridCol w:w="991"/>
        <w:gridCol w:w="1416"/>
        <w:gridCol w:w="1280"/>
        <w:gridCol w:w="1273"/>
        <w:gridCol w:w="1416"/>
        <w:gridCol w:w="994"/>
        <w:gridCol w:w="562"/>
      </w:tblGrid>
      <w:tr>
        <w:tblPrEx/>
        <w:trPr/>
        <w:tc>
          <w:tcPr>
            <w:tcW w:w="40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08.1.841112.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0.000</w:t>
            </w:r>
            <w:r>
              <w:rPr>
                <w:rFonts w:cs="Times New Roman"/>
                <w:sz w:val="20"/>
                <w:szCs w:val="20"/>
              </w:rPr>
              <w:t xml:space="preserve">30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8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Постоянное хранение технической документации на объекты государственного учета жилищного фонда на территории Новосибирской области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266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84.11.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12.000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8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гос</w:t>
            </w:r>
            <w:r>
              <w:rPr>
                <w:rFonts w:cs="Times New Roman"/>
                <w:sz w:val="20"/>
                <w:szCs w:val="20"/>
              </w:rPr>
              <w:t xml:space="preserve">у</w:t>
            </w:r>
            <w:r>
              <w:rPr>
                <w:rFonts w:cs="Times New Roman"/>
                <w:sz w:val="20"/>
                <w:szCs w:val="20"/>
              </w:rPr>
              <w:t xml:space="preserve">да</w:t>
            </w:r>
            <w:r>
              <w:rPr>
                <w:rFonts w:cs="Times New Roman"/>
                <w:sz w:val="20"/>
                <w:szCs w:val="20"/>
              </w:rPr>
              <w:t xml:space="preserve">р</w:t>
            </w:r>
            <w:r>
              <w:rPr>
                <w:rFonts w:cs="Times New Roman"/>
                <w:sz w:val="20"/>
                <w:szCs w:val="20"/>
              </w:rPr>
              <w:t xml:space="preserve">ственная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бюдже</w:t>
            </w:r>
            <w:r>
              <w:rPr>
                <w:rFonts w:cs="Times New Roman"/>
                <w:sz w:val="20"/>
                <w:szCs w:val="20"/>
              </w:rPr>
              <w:t xml:space="preserve">т</w:t>
            </w:r>
            <w:r>
              <w:rPr>
                <w:rFonts w:cs="Times New Roman"/>
                <w:sz w:val="20"/>
                <w:szCs w:val="20"/>
              </w:rPr>
              <w:t xml:space="preserve">ное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п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остоянное хранение технической документации на объекты государственного учета жилищного фонда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электро</w:t>
            </w:r>
            <w:r>
              <w:rPr>
                <w:rFonts w:cs="Times New Roman"/>
                <w:sz w:val="20"/>
                <w:szCs w:val="20"/>
              </w:rPr>
              <w:t xml:space="preserve">н</w:t>
            </w:r>
            <w:r>
              <w:rPr>
                <w:rFonts w:cs="Times New Roman"/>
                <w:sz w:val="20"/>
                <w:szCs w:val="20"/>
              </w:rPr>
              <w:t xml:space="preserve">ном </w:t>
            </w:r>
            <w:r>
              <w:rPr>
                <w:rFonts w:cs="Times New Roman"/>
                <w:sz w:val="20"/>
                <w:szCs w:val="20"/>
              </w:rPr>
              <w:t xml:space="preserve">виде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9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работа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беспла</w:t>
            </w:r>
            <w:r>
              <w:rPr>
                <w:rFonts w:cs="Times New Roman"/>
                <w:sz w:val="20"/>
                <w:szCs w:val="20"/>
              </w:rPr>
              <w:t xml:space="preserve">т</w:t>
            </w:r>
            <w:r>
              <w:rPr>
                <w:rFonts w:cs="Times New Roman"/>
                <w:sz w:val="20"/>
                <w:szCs w:val="20"/>
              </w:rPr>
              <w:t xml:space="preserve">ная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jc w:val="center"/>
              <w:rPr>
                <w:color w:val="ff0000" w:themeColor="text1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постановление Правительства Новосибирской области от 01.06.2026 № 277-п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«Об установлении порядка организации и ведения архива технической документации на объекты государственного учета жилищного фонда на территории Новосибирской области» </w:t>
            </w:r>
            <w:r>
              <w:rPr>
                <w:color w:val="ff0000" w:themeColor="text1"/>
                <w:sz w:val="20"/>
                <w:szCs w:val="20"/>
              </w:rPr>
            </w:r>
            <w:r>
              <w:rPr>
                <w:color w:val="ff0000" w:themeColor="text1"/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  <w:r>
              <w:rPr>
                <w:rFonts w:cs="Times New Roman"/>
                <w:sz w:val="20"/>
                <w:szCs w:val="20"/>
                <w:highlight w:val="none"/>
              </w:rPr>
              <w:t xml:space="preserve">органы гос</w:t>
            </w:r>
            <w:r>
              <w:rPr>
                <w:rFonts w:cs="Times New Roman"/>
                <w:sz w:val="20"/>
                <w:szCs w:val="20"/>
                <w:highlight w:val="none"/>
              </w:rPr>
              <w:t xml:space="preserve">у</w:t>
            </w:r>
            <w:r>
              <w:rPr>
                <w:rFonts w:cs="Times New Roman"/>
                <w:sz w:val="20"/>
                <w:szCs w:val="20"/>
                <w:highlight w:val="none"/>
              </w:rPr>
              <w:t xml:space="preserve">дарственной влас</w:t>
            </w:r>
            <w:r>
              <w:rPr>
                <w:rFonts w:cs="Times New Roman"/>
                <w:sz w:val="20"/>
                <w:szCs w:val="20"/>
                <w:highlight w:val="none"/>
              </w:rPr>
              <w:t xml:space="preserve">ти</w:t>
            </w:r>
            <w:r>
              <w:rPr>
                <w:rFonts w:cs="Times New Roman"/>
                <w:sz w:val="20"/>
                <w:szCs w:val="20"/>
                <w:highlight w:val="red"/>
              </w:rPr>
            </w:r>
            <w:r>
              <w:rPr>
                <w:rFonts w:cs="Times New Roman"/>
                <w:sz w:val="20"/>
                <w:szCs w:val="20"/>
                <w:highlight w:val="red"/>
              </w:rPr>
            </w:r>
          </w:p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  <w:r>
              <w:rPr>
                <w:rFonts w:cs="Times New Roman"/>
                <w:sz w:val="20"/>
                <w:szCs w:val="20"/>
                <w:highlight w:val="red"/>
              </w:rPr>
            </w:r>
            <w:r>
              <w:rPr>
                <w:rFonts w:cs="Times New Roman"/>
                <w:sz w:val="20"/>
                <w:szCs w:val="20"/>
                <w:highlight w:val="red"/>
              </w:rPr>
            </w:r>
            <w:r>
              <w:rPr>
                <w:rFonts w:cs="Times New Roman"/>
                <w:sz w:val="20"/>
                <w:szCs w:val="20"/>
                <w:highlight w:val="red"/>
              </w:rPr>
            </w:r>
          </w:p>
        </w:tc>
        <w:tc>
          <w:tcPr>
            <w:tcW w:w="401" w:type="pct"/>
            <w:textDirection w:val="lrTb"/>
            <w:noWrap w:val="false"/>
          </w:tcPr>
          <w:p>
            <w:pPr>
              <w:ind w:firstLine="0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объем хранящейся информации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(единица)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ind w:firstLine="0"/>
              <w:jc w:val="center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соблюдение требований к хранению документов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(процент)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</w:p>
        </w:tc>
        <w:tc>
          <w:tcPr>
            <w:tcW w:w="31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Новос</w:t>
            </w:r>
            <w:r>
              <w:rPr>
                <w:rFonts w:cs="Times New Roman"/>
                <w:sz w:val="20"/>
                <w:szCs w:val="20"/>
              </w:rPr>
              <w:t xml:space="preserve">и</w:t>
            </w:r>
            <w:r>
              <w:rPr>
                <w:rFonts w:cs="Times New Roman"/>
                <w:sz w:val="20"/>
                <w:szCs w:val="20"/>
              </w:rPr>
              <w:t xml:space="preserve">бирская область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7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  <w:r>
              <w:rPr>
                <w:rFonts w:cs="Times New Roman"/>
                <w:sz w:val="16"/>
                <w:szCs w:val="16"/>
              </w:rPr>
            </w:r>
            <w:r>
              <w:rPr>
                <w:rFonts w:cs="Times New Roman"/>
                <w:sz w:val="16"/>
                <w:szCs w:val="16"/>
              </w:rPr>
            </w:r>
          </w:p>
        </w:tc>
      </w:tr>
      <w:tr>
        <w:tblPrEx/>
        <w:trPr>
          <w:trHeight w:val="1969"/>
        </w:trPr>
        <w:tc>
          <w:tcPr>
            <w:tcW w:w="40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08.1.841112.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0.000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31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448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Style w:val="902"/>
                <w:rFonts w:eastAsiaTheme="minorHAnsi"/>
                <w:sz w:val="20"/>
                <w:szCs w:val="20"/>
                <w:highlight w:val="none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Постоянное хранение технической документации на объекты государственного учета жилищного фонда 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на территории Новосибирской области</w:t>
            </w:r>
            <w:r>
              <w:rPr>
                <w:rStyle w:val="902"/>
                <w:rFonts w:eastAsiaTheme="minorHAnsi"/>
                <w:sz w:val="20"/>
                <w:szCs w:val="20"/>
                <w:highlight w:val="none"/>
              </w:rPr>
            </w:r>
            <w:r>
              <w:rPr>
                <w:rStyle w:val="902"/>
                <w:rFonts w:eastAsiaTheme="minorHAnsi"/>
                <w:sz w:val="20"/>
                <w:szCs w:val="20"/>
                <w:highlight w:val="none"/>
              </w:rPr>
            </w:r>
          </w:p>
        </w:tc>
        <w:tc>
          <w:tcPr>
            <w:tcW w:w="266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84.11.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12.000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18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гос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да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р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ственная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бюдже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т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ное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постоянное хранение технической документации на объекты государственного учета жилищного фонда</w:t>
            </w:r>
            <w:r>
              <w:rPr>
                <w:rFonts w:cs="Times New Roman"/>
                <w:color w:val="auto"/>
                <w:sz w:val="20"/>
                <w:szCs w:val="20"/>
              </w:rPr>
            </w:r>
            <w:r>
              <w:rPr>
                <w:rFonts w:cs="Times New Roman"/>
                <w:color w:val="auto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на б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мажном носителе 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179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  <w:t xml:space="preserve">работ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а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312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беспла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т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ная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постановление Правительства Новосибирской области от 01.06.2026 № 277-п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«Об установлении порядка организации и ведения архива технической документации на объекты государственного учета жилищного фонда на территории Новосибирской области»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0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  <w:highlight w:val="none"/>
              </w:rPr>
            </w:pPr>
            <w:r>
              <w:rPr>
                <w:rStyle w:val="902"/>
                <w:rFonts w:eastAsiaTheme="minorHAnsi"/>
                <w:sz w:val="20"/>
                <w:szCs w:val="20"/>
                <w:highlight w:val="none"/>
              </w:rPr>
              <w:t xml:space="preserve">органы гос</w:t>
            </w:r>
            <w:r>
              <w:rPr>
                <w:rStyle w:val="902"/>
                <w:rFonts w:eastAsiaTheme="minorHAnsi"/>
                <w:sz w:val="20"/>
                <w:szCs w:val="20"/>
                <w:highlight w:val="none"/>
              </w:rPr>
              <w:t xml:space="preserve">у</w:t>
            </w:r>
            <w:r>
              <w:rPr>
                <w:rStyle w:val="902"/>
                <w:rFonts w:eastAsiaTheme="minorHAnsi"/>
                <w:sz w:val="20"/>
                <w:szCs w:val="20"/>
                <w:highlight w:val="none"/>
              </w:rPr>
              <w:t xml:space="preserve">дарственной власти</w:t>
            </w:r>
            <w:r>
              <w:rPr>
                <w:rFonts w:eastAsiaTheme="minorHAnsi"/>
                <w:sz w:val="20"/>
                <w:szCs w:val="20"/>
                <w:highlight w:val="none"/>
              </w:rPr>
            </w:r>
            <w:r>
              <w:rPr>
                <w:rFonts w:eastAsiaTheme="minorHAnsi"/>
                <w:sz w:val="20"/>
                <w:szCs w:val="20"/>
                <w:highlight w:val="none"/>
              </w:rPr>
            </w:r>
          </w:p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  <w:highlight w:val="none"/>
              </w:rPr>
            </w:pPr>
            <w:r>
              <w:rPr>
                <w:rFonts w:eastAsiaTheme="minorHAnsi"/>
                <w:sz w:val="20"/>
                <w:szCs w:val="20"/>
                <w:highlight w:val="none"/>
              </w:rPr>
            </w:r>
            <w:r>
              <w:rPr>
                <w:rFonts w:eastAsiaTheme="minorHAnsi"/>
                <w:sz w:val="20"/>
                <w:szCs w:val="20"/>
                <w:highlight w:val="none"/>
              </w:rPr>
            </w:r>
            <w:r>
              <w:rPr>
                <w:rFonts w:eastAsiaTheme="minorHAnsi"/>
                <w:sz w:val="20"/>
                <w:szCs w:val="20"/>
                <w:highlight w:val="none"/>
              </w:rPr>
            </w:r>
          </w:p>
        </w:tc>
        <w:tc>
          <w:tcPr>
            <w:tcW w:w="401" w:type="pct"/>
            <w:textDirection w:val="lrTb"/>
            <w:noWrap w:val="false"/>
          </w:tcPr>
          <w:p>
            <w:pPr>
              <w:ind w:firstLine="0"/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объем хранящейся информации 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(единица)</w:t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  <w:r>
              <w:rPr>
                <w:rFonts w:eastAsiaTheme="minorHAnsi"/>
                <w:color w:val="000000" w:themeColor="text1"/>
                <w:sz w:val="20"/>
                <w:szCs w:val="20"/>
              </w:rPr>
            </w:r>
          </w:p>
        </w:tc>
        <w:tc>
          <w:tcPr>
            <w:tcW w:w="446" w:type="pct"/>
            <w:textDirection w:val="lrTb"/>
            <w:noWrap w:val="false"/>
          </w:tcPr>
          <w:p>
            <w:pPr>
              <w:ind w:firstLine="0"/>
              <w:jc w:val="both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соблюдение требований к хранению документов</w:t>
            </w:r>
            <w:r>
              <w:rPr>
                <w:rStyle w:val="902"/>
                <w:rFonts w:eastAsiaTheme="minorHAnsi"/>
                <w:color w:val="000000" w:themeColor="text1"/>
                <w:sz w:val="20"/>
                <w:szCs w:val="20"/>
              </w:rPr>
              <w:t xml:space="preserve"> (процент)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313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Style w:val="902"/>
                <w:rFonts w:eastAsiaTheme="minorHAnsi"/>
                <w:sz w:val="20"/>
                <w:szCs w:val="20"/>
              </w:rPr>
              <w:t xml:space="preserve">Новос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и</w:t>
            </w:r>
            <w:r>
              <w:rPr>
                <w:rStyle w:val="902"/>
                <w:rFonts w:eastAsiaTheme="minorHAnsi"/>
                <w:sz w:val="20"/>
                <w:szCs w:val="20"/>
              </w:rPr>
              <w:t xml:space="preserve">бирская область</w:t>
            </w:r>
            <w:r>
              <w:rPr>
                <w:rFonts w:eastAsiaTheme="minorHAnsi"/>
                <w:sz w:val="20"/>
                <w:szCs w:val="20"/>
              </w:rPr>
            </w:r>
            <w:r>
              <w:rPr>
                <w:rFonts w:eastAsiaTheme="minorHAnsi"/>
                <w:sz w:val="20"/>
                <w:szCs w:val="20"/>
              </w:rPr>
            </w:r>
          </w:p>
        </w:tc>
        <w:tc>
          <w:tcPr>
            <w:tcW w:w="177" w:type="pc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cs="Times New Roman"/>
                <w:sz w:val="16"/>
                <w:szCs w:val="16"/>
                <w:highlight w:val="yellow"/>
              </w:rPr>
            </w:pPr>
            <w:r>
              <w:rPr>
                <w:rFonts w:cs="Times New Roman"/>
                <w:sz w:val="16"/>
                <w:szCs w:val="16"/>
                <w:highlight w:val="yellow"/>
              </w:rPr>
            </w:r>
            <w:r>
              <w:rPr>
                <w:rFonts w:cs="Times New Roman"/>
                <w:sz w:val="16"/>
                <w:szCs w:val="16"/>
                <w:highlight w:val="yellow"/>
              </w:rPr>
            </w:r>
            <w:r>
              <w:rPr>
                <w:rFonts w:cs="Times New Roman"/>
                <w:sz w:val="16"/>
                <w:szCs w:val="16"/>
                <w:highlight w:val="yellow"/>
              </w:rPr>
            </w:r>
          </w:p>
        </w:tc>
      </w:tr>
    </w:tbl>
    <w:p>
      <w:pPr>
        <w:ind w:right="-881" w:firstLine="0"/>
        <w:jc w:val="right"/>
        <w:rPr>
          <w:highlight w:val="none"/>
        </w:rPr>
      </w:pPr>
      <w:r>
        <w:t xml:space="preserve"> </w:t>
      </w:r>
      <w:r>
        <w:t xml:space="preserve">».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left"/>
      </w:pPr>
      <w:r/>
      <w:r/>
    </w:p>
    <w:p>
      <w:pPr>
        <w:ind w:firstLine="0"/>
        <w:jc w:val="center"/>
        <w:rPr>
          <w:rFonts w:cs="Times New Roman"/>
          <w:sz w:val="16"/>
          <w:szCs w:val="16"/>
        </w:rPr>
      </w:pPr>
      <w:r>
        <w:rPr>
          <w:rFonts w:cs="Times New Roman"/>
          <w:szCs w:val="28"/>
        </w:rPr>
        <w:t xml:space="preserve">       </w:t>
      </w:r>
      <w:r>
        <w:rPr>
          <w:rFonts w:cs="Times New Roman"/>
          <w:szCs w:val="28"/>
        </w:rPr>
        <w:t xml:space="preserve">_________</w:t>
      </w:r>
      <w:r>
        <w:rPr>
          <w:rFonts w:cs="Times New Roman"/>
          <w:sz w:val="16"/>
          <w:szCs w:val="16"/>
        </w:rPr>
      </w:r>
      <w:r>
        <w:rPr>
          <w:rFonts w:cs="Times New Roman"/>
          <w:sz w:val="16"/>
          <w:szCs w:val="16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6838" w:h="11906" w:orient="landscape"/>
      <w:pgMar w:top="1418" w:right="1134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jc w:val="center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  <w:p>
    <w:pPr>
      <w:pStyle w:val="90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jc w:val="center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  <w:p>
    <w:pPr>
      <w:pStyle w:val="9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8992187"/>
      <w:docPartObj>
        <w:docPartGallery w:val="Page Numbers (Top of Page)"/>
        <w:docPartUnique w:val="true"/>
      </w:docPartObj>
      <w:rPr/>
    </w:sdtPr>
    <w:sdtContent>
      <w:p>
        <w:pPr>
          <w:pStyle w:val="898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898"/>
      <w:jc w:val="center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8"/>
        <w:szCs w:val="22"/>
        <w:lang w:val="ru-RU" w:eastAsia="en-US" w:bidi="ar-SA"/>
      </w:rPr>
    </w:rPrDefault>
    <w:pPrDefault>
      <w:pPr>
        <w:ind w:left="0" w:right="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90"/>
    <w:next w:val="890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basedOn w:val="891"/>
    <w:link w:val="716"/>
    <w:uiPriority w:val="9"/>
    <w:rPr>
      <w:rFonts w:ascii="Arial" w:hAnsi="Arial" w:eastAsia="Arial" w:cs="Arial"/>
      <w:sz w:val="40"/>
      <w:szCs w:val="40"/>
    </w:rPr>
  </w:style>
  <w:style w:type="paragraph" w:styleId="718">
    <w:name w:val="Heading 2"/>
    <w:basedOn w:val="890"/>
    <w:next w:val="890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basedOn w:val="891"/>
    <w:link w:val="718"/>
    <w:uiPriority w:val="9"/>
    <w:rPr>
      <w:rFonts w:ascii="Arial" w:hAnsi="Arial" w:eastAsia="Arial" w:cs="Arial"/>
      <w:sz w:val="34"/>
    </w:rPr>
  </w:style>
  <w:style w:type="paragraph" w:styleId="720">
    <w:name w:val="Heading 3"/>
    <w:basedOn w:val="890"/>
    <w:next w:val="890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basedOn w:val="891"/>
    <w:link w:val="720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90"/>
    <w:next w:val="890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basedOn w:val="891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90"/>
    <w:next w:val="890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basedOn w:val="891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90"/>
    <w:next w:val="890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basedOn w:val="891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90"/>
    <w:next w:val="890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basedOn w:val="89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90"/>
    <w:next w:val="890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basedOn w:val="891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90"/>
    <w:next w:val="890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basedOn w:val="891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  <w:pPr>
      <w:spacing w:before="0" w:after="0" w:line="240" w:lineRule="auto"/>
    </w:pPr>
  </w:style>
  <w:style w:type="paragraph" w:styleId="735">
    <w:name w:val="Title"/>
    <w:basedOn w:val="890"/>
    <w:next w:val="890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>
    <w:name w:val="Title Char"/>
    <w:basedOn w:val="891"/>
    <w:link w:val="735"/>
    <w:uiPriority w:val="10"/>
    <w:rPr>
      <w:sz w:val="48"/>
      <w:szCs w:val="48"/>
    </w:rPr>
  </w:style>
  <w:style w:type="paragraph" w:styleId="737">
    <w:name w:val="Subtitle"/>
    <w:basedOn w:val="890"/>
    <w:next w:val="890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1"/>
    <w:link w:val="737"/>
    <w:uiPriority w:val="11"/>
    <w:rPr>
      <w:sz w:val="24"/>
      <w:szCs w:val="24"/>
    </w:rPr>
  </w:style>
  <w:style w:type="paragraph" w:styleId="739">
    <w:name w:val="Quote"/>
    <w:basedOn w:val="890"/>
    <w:next w:val="890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90"/>
    <w:next w:val="890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1"/>
    <w:link w:val="898"/>
    <w:uiPriority w:val="99"/>
  </w:style>
  <w:style w:type="character" w:styleId="744">
    <w:name w:val="Footer Char"/>
    <w:basedOn w:val="891"/>
    <w:link w:val="900"/>
    <w:uiPriority w:val="99"/>
  </w:style>
  <w:style w:type="paragraph" w:styleId="745">
    <w:name w:val="Caption"/>
    <w:basedOn w:val="890"/>
    <w:next w:val="8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900"/>
    <w:uiPriority w:val="99"/>
  </w:style>
  <w:style w:type="table" w:styleId="747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6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7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8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9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50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1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3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7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0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4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Hyperlink"/>
    <w:uiPriority w:val="99"/>
    <w:unhideWhenUsed/>
    <w:rPr>
      <w:color w:val="0000ff" w:themeColor="hyperlink"/>
      <w:u w:val="single"/>
    </w:rPr>
  </w:style>
  <w:style w:type="paragraph" w:styleId="873">
    <w:name w:val="footnote text"/>
    <w:basedOn w:val="890"/>
    <w:link w:val="874"/>
    <w:uiPriority w:val="99"/>
    <w:semiHidden/>
    <w:unhideWhenUsed/>
    <w:pPr>
      <w:spacing w:after="40" w:line="240" w:lineRule="auto"/>
    </w:pPr>
    <w:rPr>
      <w:sz w:val="18"/>
    </w:rPr>
  </w:style>
  <w:style w:type="character" w:styleId="874">
    <w:name w:val="Footnote Text Char"/>
    <w:link w:val="873"/>
    <w:uiPriority w:val="99"/>
    <w:rPr>
      <w:sz w:val="18"/>
    </w:rPr>
  </w:style>
  <w:style w:type="character" w:styleId="875">
    <w:name w:val="footnote reference"/>
    <w:basedOn w:val="891"/>
    <w:uiPriority w:val="99"/>
    <w:unhideWhenUsed/>
    <w:rPr>
      <w:vertAlign w:val="superscript"/>
    </w:rPr>
  </w:style>
  <w:style w:type="paragraph" w:styleId="876">
    <w:name w:val="endnote text"/>
    <w:basedOn w:val="890"/>
    <w:link w:val="877"/>
    <w:uiPriority w:val="99"/>
    <w:semiHidden/>
    <w:unhideWhenUsed/>
    <w:pPr>
      <w:spacing w:after="0" w:line="240" w:lineRule="auto"/>
    </w:pPr>
    <w:rPr>
      <w:sz w:val="20"/>
    </w:rPr>
  </w:style>
  <w:style w:type="character" w:styleId="877">
    <w:name w:val="Endnote Text Char"/>
    <w:link w:val="876"/>
    <w:uiPriority w:val="99"/>
    <w:rPr>
      <w:sz w:val="20"/>
    </w:rPr>
  </w:style>
  <w:style w:type="character" w:styleId="878">
    <w:name w:val="endnote reference"/>
    <w:basedOn w:val="891"/>
    <w:uiPriority w:val="99"/>
    <w:semiHidden/>
    <w:unhideWhenUsed/>
    <w:rPr>
      <w:vertAlign w:val="superscript"/>
    </w:rPr>
  </w:style>
  <w:style w:type="paragraph" w:styleId="879">
    <w:name w:val="toc 1"/>
    <w:basedOn w:val="890"/>
    <w:next w:val="890"/>
    <w:uiPriority w:val="39"/>
    <w:unhideWhenUsed/>
    <w:pPr>
      <w:ind w:left="0" w:right="0" w:firstLine="0"/>
      <w:spacing w:after="57"/>
    </w:pPr>
  </w:style>
  <w:style w:type="paragraph" w:styleId="880">
    <w:name w:val="toc 2"/>
    <w:basedOn w:val="890"/>
    <w:next w:val="890"/>
    <w:uiPriority w:val="39"/>
    <w:unhideWhenUsed/>
    <w:pPr>
      <w:ind w:left="283" w:right="0" w:firstLine="0"/>
      <w:spacing w:after="57"/>
    </w:pPr>
  </w:style>
  <w:style w:type="paragraph" w:styleId="881">
    <w:name w:val="toc 3"/>
    <w:basedOn w:val="890"/>
    <w:next w:val="890"/>
    <w:uiPriority w:val="39"/>
    <w:unhideWhenUsed/>
    <w:pPr>
      <w:ind w:left="567" w:right="0" w:firstLine="0"/>
      <w:spacing w:after="57"/>
    </w:pPr>
  </w:style>
  <w:style w:type="paragraph" w:styleId="882">
    <w:name w:val="toc 4"/>
    <w:basedOn w:val="890"/>
    <w:next w:val="890"/>
    <w:uiPriority w:val="39"/>
    <w:unhideWhenUsed/>
    <w:pPr>
      <w:ind w:left="850" w:right="0" w:firstLine="0"/>
      <w:spacing w:after="57"/>
    </w:pPr>
  </w:style>
  <w:style w:type="paragraph" w:styleId="883">
    <w:name w:val="toc 5"/>
    <w:basedOn w:val="890"/>
    <w:next w:val="890"/>
    <w:uiPriority w:val="39"/>
    <w:unhideWhenUsed/>
    <w:pPr>
      <w:ind w:left="1134" w:right="0" w:firstLine="0"/>
      <w:spacing w:after="57"/>
    </w:pPr>
  </w:style>
  <w:style w:type="paragraph" w:styleId="884">
    <w:name w:val="toc 6"/>
    <w:basedOn w:val="890"/>
    <w:next w:val="890"/>
    <w:uiPriority w:val="39"/>
    <w:unhideWhenUsed/>
    <w:pPr>
      <w:ind w:left="1417" w:right="0" w:firstLine="0"/>
      <w:spacing w:after="57"/>
    </w:pPr>
  </w:style>
  <w:style w:type="paragraph" w:styleId="885">
    <w:name w:val="toc 7"/>
    <w:basedOn w:val="890"/>
    <w:next w:val="890"/>
    <w:uiPriority w:val="39"/>
    <w:unhideWhenUsed/>
    <w:pPr>
      <w:ind w:left="1701" w:right="0" w:firstLine="0"/>
      <w:spacing w:after="57"/>
    </w:pPr>
  </w:style>
  <w:style w:type="paragraph" w:styleId="886">
    <w:name w:val="toc 8"/>
    <w:basedOn w:val="890"/>
    <w:next w:val="890"/>
    <w:uiPriority w:val="39"/>
    <w:unhideWhenUsed/>
    <w:pPr>
      <w:ind w:left="1984" w:right="0" w:firstLine="0"/>
      <w:spacing w:after="57"/>
    </w:pPr>
  </w:style>
  <w:style w:type="paragraph" w:styleId="887">
    <w:name w:val="toc 9"/>
    <w:basedOn w:val="890"/>
    <w:next w:val="890"/>
    <w:uiPriority w:val="39"/>
    <w:unhideWhenUsed/>
    <w:pPr>
      <w:ind w:left="2268" w:right="0" w:firstLine="0"/>
      <w:spacing w:after="57"/>
    </w:pPr>
  </w:style>
  <w:style w:type="paragraph" w:styleId="888">
    <w:name w:val="TOC Heading"/>
    <w:uiPriority w:val="39"/>
    <w:unhideWhenUsed/>
  </w:style>
  <w:style w:type="paragraph" w:styleId="889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890" w:default="1">
    <w:name w:val="Normal"/>
    <w:qFormat/>
  </w:style>
  <w:style w:type="character" w:styleId="891" w:default="1">
    <w:name w:val="Default Paragraph Font"/>
    <w:uiPriority w:val="1"/>
    <w:semiHidden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table" w:styleId="894">
    <w:name w:val="Table Grid"/>
    <w:basedOn w:val="89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5">
    <w:name w:val="Balloon Text"/>
    <w:basedOn w:val="890"/>
    <w:link w:val="89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96" w:customStyle="1">
    <w:name w:val="Текст выноски Знак"/>
    <w:basedOn w:val="891"/>
    <w:link w:val="895"/>
    <w:uiPriority w:val="99"/>
    <w:semiHidden/>
    <w:rPr>
      <w:rFonts w:ascii="Segoe UI" w:hAnsi="Segoe UI" w:cs="Segoe UI"/>
      <w:sz w:val="18"/>
      <w:szCs w:val="18"/>
    </w:rPr>
  </w:style>
  <w:style w:type="paragraph" w:styleId="897">
    <w:name w:val="List Paragraph"/>
    <w:basedOn w:val="890"/>
    <w:uiPriority w:val="34"/>
    <w:qFormat/>
    <w:pPr>
      <w:contextualSpacing/>
      <w:ind w:left="720"/>
    </w:pPr>
  </w:style>
  <w:style w:type="paragraph" w:styleId="898">
    <w:name w:val="Header"/>
    <w:basedOn w:val="890"/>
    <w:link w:val="89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9" w:customStyle="1">
    <w:name w:val="Верхний колонтитул Знак"/>
    <w:basedOn w:val="891"/>
    <w:link w:val="898"/>
    <w:uiPriority w:val="99"/>
  </w:style>
  <w:style w:type="paragraph" w:styleId="900">
    <w:name w:val="Footer"/>
    <w:basedOn w:val="890"/>
    <w:link w:val="90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1" w:customStyle="1">
    <w:name w:val="Нижний колонтитул Знак"/>
    <w:basedOn w:val="891"/>
    <w:link w:val="900"/>
    <w:uiPriority w:val="99"/>
  </w:style>
  <w:style w:type="character" w:styleId="902" w:customStyle="1">
    <w:name w:val="Body text (2) + 9 pt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CEB17-E378-4253-87B4-F6ECA0EB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ГКУ НСО РИЦ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 Сергей Петрович</dc:creator>
  <cp:keywords/>
  <dc:description/>
  <cp:revision>20</cp:revision>
  <dcterms:created xsi:type="dcterms:W3CDTF">2019-08-22T08:41:00Z</dcterms:created>
  <dcterms:modified xsi:type="dcterms:W3CDTF">2026-06-17T09:01:02Z</dcterms:modified>
</cp:coreProperties>
</file>